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B" w:rsidRPr="008C593E" w:rsidRDefault="006A69BB">
      <w:pPr>
        <w:rPr>
          <w:sz w:val="22"/>
          <w:szCs w:val="20"/>
          <w:lang w:val="ru-RU"/>
        </w:rPr>
      </w:pPr>
    </w:p>
    <w:p w:rsidR="00322ED9" w:rsidRDefault="00322ED9">
      <w:pPr>
        <w:rPr>
          <w:b/>
          <w:sz w:val="22"/>
          <w:szCs w:val="20"/>
        </w:rPr>
      </w:pPr>
    </w:p>
    <w:p w:rsidR="00322ED9" w:rsidRDefault="00A46054">
      <w:pPr>
        <w:rPr>
          <w:b/>
          <w:sz w:val="22"/>
          <w:szCs w:val="20"/>
        </w:rPr>
      </w:pPr>
      <w:r w:rsidRPr="00A46054">
        <w:rPr>
          <w:b/>
          <w:sz w:val="22"/>
          <w:szCs w:val="20"/>
        </w:rPr>
        <w:drawing>
          <wp:inline distT="0" distB="0" distL="0" distR="0">
            <wp:extent cx="3209925" cy="762000"/>
            <wp:effectExtent l="19050" t="0" r="9525" b="0"/>
            <wp:docPr id="1" name="Picture 1" descr="C:\Users\uc160677\AppData\Local\Microsoft\Windows\Temporary Internet Files\Content.Outlook\QSY1CBPM\tr_hrz_tm_2cp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160677\AppData\Local\Microsoft\Windows\Temporary Internet Files\Content.Outlook\QSY1CBPM\tr_hrz_tm_2cp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23" t="23529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54" w:rsidRDefault="00A46054">
      <w:pPr>
        <w:rPr>
          <w:b/>
          <w:sz w:val="22"/>
          <w:szCs w:val="20"/>
        </w:rPr>
      </w:pPr>
    </w:p>
    <w:p w:rsidR="008C593E" w:rsidRPr="008C593E" w:rsidRDefault="008C593E">
      <w:pPr>
        <w:rPr>
          <w:b/>
          <w:sz w:val="22"/>
          <w:szCs w:val="20"/>
        </w:rPr>
      </w:pPr>
      <w:r w:rsidRPr="008C593E">
        <w:rPr>
          <w:b/>
          <w:sz w:val="22"/>
          <w:szCs w:val="20"/>
        </w:rPr>
        <w:t>ACCOUNT MANAGER</w:t>
      </w:r>
    </w:p>
    <w:p w:rsidR="008C593E" w:rsidRPr="008C593E" w:rsidRDefault="008C593E">
      <w:pPr>
        <w:rPr>
          <w:sz w:val="22"/>
          <w:szCs w:val="20"/>
        </w:rPr>
      </w:pPr>
    </w:p>
    <w:p w:rsidR="008C593E" w:rsidRPr="008C593E" w:rsidRDefault="008C593E">
      <w:pPr>
        <w:rPr>
          <w:sz w:val="22"/>
          <w:szCs w:val="20"/>
        </w:rPr>
      </w:pPr>
    </w:p>
    <w:p w:rsidR="008C593E" w:rsidRPr="00322ED9" w:rsidRDefault="008C593E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szCs w:val="20"/>
        </w:rPr>
      </w:pPr>
      <w:r w:rsidRPr="00322ED9">
        <w:rPr>
          <w:rFonts w:cs="Arial"/>
          <w:szCs w:val="20"/>
        </w:rPr>
        <w:t xml:space="preserve">Reports to: </w:t>
      </w:r>
      <w:r w:rsidR="009046D6" w:rsidRPr="00322ED9">
        <w:rPr>
          <w:rFonts w:cs="Arial"/>
          <w:szCs w:val="20"/>
        </w:rPr>
        <w:t>Head of Account Management</w:t>
      </w:r>
    </w:p>
    <w:p w:rsidR="008C593E" w:rsidRDefault="008C593E">
      <w:pPr>
        <w:rPr>
          <w:sz w:val="22"/>
          <w:szCs w:val="20"/>
        </w:rPr>
      </w:pPr>
    </w:p>
    <w:p w:rsidR="009046D6" w:rsidRDefault="009046D6" w:rsidP="009046D6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Senior</w:t>
      </w:r>
      <w:r w:rsidR="00322ED9">
        <w:rPr>
          <w:rFonts w:cs="Arial"/>
          <w:szCs w:val="20"/>
        </w:rPr>
        <w:t xml:space="preserve"> Sales</w:t>
      </w:r>
      <w:r>
        <w:rPr>
          <w:rFonts w:cs="Arial"/>
          <w:szCs w:val="20"/>
        </w:rPr>
        <w:t xml:space="preserve"> role which requires proactive engagement with </w:t>
      </w:r>
      <w:r w:rsidR="00322ED9">
        <w:rPr>
          <w:rFonts w:cs="Arial"/>
          <w:szCs w:val="20"/>
        </w:rPr>
        <w:t>large</w:t>
      </w:r>
      <w:r w:rsidR="006B1D29" w:rsidRPr="006B1D29">
        <w:rPr>
          <w:rFonts w:cs="Arial"/>
          <w:szCs w:val="20"/>
        </w:rPr>
        <w:t xml:space="preserve"> </w:t>
      </w:r>
      <w:r w:rsidR="006B1D29">
        <w:rPr>
          <w:rFonts w:cs="Arial"/>
          <w:szCs w:val="20"/>
        </w:rPr>
        <w:t>and medium</w:t>
      </w:r>
      <w:r w:rsidR="00322ED9">
        <w:rPr>
          <w:rFonts w:cs="Arial"/>
          <w:szCs w:val="20"/>
        </w:rPr>
        <w:t xml:space="preserve"> banks and financial institutions, </w:t>
      </w:r>
      <w:r>
        <w:rPr>
          <w:rFonts w:cs="Arial"/>
          <w:szCs w:val="20"/>
        </w:rPr>
        <w:t xml:space="preserve">understanding core requirements, communicating and showcasing Thomson Reuters </w:t>
      </w:r>
      <w:r w:rsidR="006B1D29">
        <w:rPr>
          <w:rFonts w:cs="Arial"/>
          <w:szCs w:val="20"/>
        </w:rPr>
        <w:t>proposition in f</w:t>
      </w:r>
      <w:r w:rsidR="00322ED9">
        <w:rPr>
          <w:rFonts w:cs="Arial"/>
          <w:szCs w:val="20"/>
        </w:rPr>
        <w:t>inancial sector</w:t>
      </w:r>
      <w:r>
        <w:rPr>
          <w:rFonts w:cs="Arial"/>
          <w:szCs w:val="20"/>
        </w:rPr>
        <w:t>, working with relevant internal and external stakeholders to develop busi</w:t>
      </w:r>
      <w:r w:rsidR="006B1D29">
        <w:rPr>
          <w:rFonts w:cs="Arial"/>
          <w:szCs w:val="20"/>
        </w:rPr>
        <w:t>ness with targeted institutions.</w:t>
      </w:r>
    </w:p>
    <w:p w:rsidR="009046D6" w:rsidRPr="008C593E" w:rsidRDefault="009046D6">
      <w:pPr>
        <w:rPr>
          <w:sz w:val="22"/>
          <w:szCs w:val="20"/>
        </w:rPr>
      </w:pPr>
    </w:p>
    <w:p w:rsidR="008C593E" w:rsidRPr="00322ED9" w:rsidRDefault="008C593E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b/>
          <w:szCs w:val="20"/>
        </w:rPr>
      </w:pPr>
      <w:r w:rsidRPr="00322ED9">
        <w:rPr>
          <w:rFonts w:cs="Arial"/>
          <w:b/>
          <w:szCs w:val="20"/>
        </w:rPr>
        <w:t xml:space="preserve">Main responsibilities: </w:t>
      </w:r>
    </w:p>
    <w:p w:rsidR="008C593E" w:rsidRPr="00A46054" w:rsidRDefault="009046D6" w:rsidP="00A46054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O</w:t>
      </w:r>
      <w:r w:rsidR="008C593E" w:rsidRPr="00A46054">
        <w:rPr>
          <w:rFonts w:cs="Arial"/>
          <w:szCs w:val="20"/>
        </w:rPr>
        <w:t xml:space="preserve">wn and manage </w:t>
      </w:r>
      <w:r w:rsidRPr="00A46054">
        <w:rPr>
          <w:rFonts w:cs="Arial"/>
          <w:szCs w:val="20"/>
        </w:rPr>
        <w:t xml:space="preserve">strong </w:t>
      </w:r>
      <w:r w:rsidR="008C593E" w:rsidRPr="00A46054">
        <w:rPr>
          <w:rFonts w:cs="Arial"/>
          <w:szCs w:val="20"/>
        </w:rPr>
        <w:t xml:space="preserve">relationships with </w:t>
      </w:r>
      <w:r w:rsidR="006B1D29" w:rsidRPr="00A46054">
        <w:rPr>
          <w:rFonts w:cs="Arial"/>
          <w:szCs w:val="20"/>
        </w:rPr>
        <w:t>our</w:t>
      </w:r>
      <w:r w:rsidR="008C593E" w:rsidRPr="00A46054">
        <w:rPr>
          <w:rFonts w:cs="Arial"/>
          <w:szCs w:val="20"/>
        </w:rPr>
        <w:t xml:space="preserve"> clients</w:t>
      </w:r>
      <w:r w:rsidRPr="00A46054">
        <w:rPr>
          <w:rFonts w:cs="Arial"/>
          <w:szCs w:val="20"/>
        </w:rPr>
        <w:t xml:space="preserve"> </w:t>
      </w:r>
      <w:r w:rsidR="006B1D29" w:rsidRPr="00A46054">
        <w:rPr>
          <w:rFonts w:cs="Arial"/>
          <w:szCs w:val="20"/>
        </w:rPr>
        <w:t>in Banking sector</w:t>
      </w:r>
      <w:r w:rsidR="008C593E" w:rsidRPr="00A46054">
        <w:rPr>
          <w:rFonts w:cs="Arial"/>
          <w:szCs w:val="20"/>
        </w:rPr>
        <w:t xml:space="preserve">; </w:t>
      </w:r>
    </w:p>
    <w:p w:rsidR="00322ED9" w:rsidRPr="00A46054" w:rsidRDefault="00322ED9" w:rsidP="00A46054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Develop strong understanding of Thomson Reuters products and services in Financial sector</w:t>
      </w:r>
      <w:r w:rsidR="006B1D29" w:rsidRPr="00A46054">
        <w:rPr>
          <w:rFonts w:cs="Arial"/>
          <w:szCs w:val="20"/>
        </w:rPr>
        <w:t>, Compliance and Risk;</w:t>
      </w:r>
    </w:p>
    <w:p w:rsidR="008C593E" w:rsidRPr="00A46054" w:rsidRDefault="008C593E" w:rsidP="00A46054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 xml:space="preserve">Be in charge of business development within particular area/portfolio; </w:t>
      </w:r>
    </w:p>
    <w:p w:rsidR="008C593E" w:rsidRPr="00A46054" w:rsidRDefault="008C593E" w:rsidP="00A46054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 xml:space="preserve">Define and execute account strategy; </w:t>
      </w:r>
    </w:p>
    <w:p w:rsidR="008C593E" w:rsidRPr="00A46054" w:rsidRDefault="009046D6" w:rsidP="00A46054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 xml:space="preserve">Retain and grow </w:t>
      </w:r>
      <w:r w:rsidR="008C593E" w:rsidRPr="00A46054">
        <w:rPr>
          <w:rFonts w:cs="Arial"/>
          <w:szCs w:val="20"/>
        </w:rPr>
        <w:t>revenue</w:t>
      </w:r>
      <w:r w:rsidRPr="00A46054">
        <w:rPr>
          <w:rFonts w:cs="Arial"/>
          <w:szCs w:val="20"/>
        </w:rPr>
        <w:t xml:space="preserve"> in portfolio</w:t>
      </w:r>
      <w:r w:rsidR="006B1D29" w:rsidRPr="00A46054">
        <w:rPr>
          <w:rFonts w:cs="Arial"/>
          <w:szCs w:val="20"/>
        </w:rPr>
        <w:t>.</w:t>
      </w:r>
    </w:p>
    <w:p w:rsidR="00322ED9" w:rsidRDefault="00322ED9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szCs w:val="20"/>
        </w:rPr>
      </w:pPr>
    </w:p>
    <w:p w:rsidR="008C593E" w:rsidRPr="00322ED9" w:rsidRDefault="008C593E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b/>
          <w:szCs w:val="20"/>
        </w:rPr>
      </w:pPr>
      <w:r w:rsidRPr="00322ED9">
        <w:rPr>
          <w:rFonts w:cs="Arial"/>
          <w:b/>
          <w:szCs w:val="20"/>
        </w:rPr>
        <w:t xml:space="preserve">Key requirements: </w:t>
      </w:r>
    </w:p>
    <w:p w:rsidR="00322ED9" w:rsidRPr="00A46054" w:rsidRDefault="00322ED9" w:rsidP="00A46054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 xml:space="preserve">7+ years proven successful track record of </w:t>
      </w:r>
      <w:r w:rsidR="006B1D29" w:rsidRPr="00A46054">
        <w:rPr>
          <w:rFonts w:cs="Arial"/>
          <w:szCs w:val="20"/>
        </w:rPr>
        <w:t>relationship management or sales in  B2B  in Russia/CIS;</w:t>
      </w:r>
    </w:p>
    <w:p w:rsidR="00322ED9" w:rsidRPr="00A46054" w:rsidRDefault="00322ED9" w:rsidP="00A46054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Must have excellent communication/interpersonal skills, and demonstrate a track record of building long-term relationships at C-level</w:t>
      </w:r>
    </w:p>
    <w:p w:rsidR="006B1D29" w:rsidRPr="00A46054" w:rsidRDefault="006B1D29" w:rsidP="00A46054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 xml:space="preserve">Fluent English; </w:t>
      </w:r>
    </w:p>
    <w:p w:rsidR="00322ED9" w:rsidRPr="00A46054" w:rsidRDefault="00322ED9" w:rsidP="00A46054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 xml:space="preserve">Knowledge of Thomson </w:t>
      </w:r>
      <w:proofErr w:type="gramStart"/>
      <w:r w:rsidRPr="00A46054">
        <w:rPr>
          <w:rFonts w:cs="Arial"/>
          <w:szCs w:val="20"/>
        </w:rPr>
        <w:t>Reuters</w:t>
      </w:r>
      <w:proofErr w:type="gramEnd"/>
      <w:r w:rsidRPr="00A46054">
        <w:rPr>
          <w:rFonts w:cs="Arial"/>
          <w:szCs w:val="20"/>
        </w:rPr>
        <w:t xml:space="preserve"> products and services is an advantage, but is not essential</w:t>
      </w:r>
      <w:r w:rsidR="006B1D29" w:rsidRPr="00A46054">
        <w:rPr>
          <w:rFonts w:cs="Arial"/>
          <w:szCs w:val="20"/>
        </w:rPr>
        <w:t>.</w:t>
      </w:r>
    </w:p>
    <w:p w:rsidR="00B05D5D" w:rsidRPr="00322ED9" w:rsidRDefault="00B05D5D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szCs w:val="20"/>
        </w:rPr>
      </w:pPr>
    </w:p>
    <w:p w:rsidR="00B05D5D" w:rsidRPr="00322ED9" w:rsidRDefault="00322ED9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b/>
          <w:szCs w:val="20"/>
        </w:rPr>
      </w:pPr>
      <w:r w:rsidRPr="00322ED9">
        <w:rPr>
          <w:rFonts w:cs="Arial"/>
          <w:b/>
          <w:szCs w:val="20"/>
        </w:rPr>
        <w:t>Terms &amp; Conditions:</w:t>
      </w:r>
    </w:p>
    <w:p w:rsidR="00322ED9" w:rsidRPr="00A46054" w:rsidRDefault="00322ED9" w:rsidP="00A4605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Fix salary + Commission plan. Salary will be determined based on a candidate’s profile/background</w:t>
      </w:r>
      <w:r w:rsidR="006B1D29" w:rsidRPr="00A46054">
        <w:rPr>
          <w:rFonts w:cs="Arial"/>
          <w:szCs w:val="20"/>
        </w:rPr>
        <w:t>;</w:t>
      </w:r>
    </w:p>
    <w:p w:rsidR="00322ED9" w:rsidRPr="00A46054" w:rsidRDefault="00322ED9" w:rsidP="00A4605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Health Insurance (incl. spouse and kids)</w:t>
      </w:r>
      <w:r w:rsidR="006B1D29" w:rsidRPr="00A46054">
        <w:rPr>
          <w:rFonts w:cs="Arial"/>
          <w:szCs w:val="20"/>
        </w:rPr>
        <w:t>;</w:t>
      </w:r>
    </w:p>
    <w:p w:rsidR="00322ED9" w:rsidRPr="00A46054" w:rsidRDefault="00322ED9" w:rsidP="00A4605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Corporate pension plan</w:t>
      </w:r>
      <w:r w:rsidR="006B1D29" w:rsidRPr="00A46054">
        <w:rPr>
          <w:rFonts w:cs="Arial"/>
          <w:szCs w:val="20"/>
        </w:rPr>
        <w:t>;</w:t>
      </w:r>
    </w:p>
    <w:p w:rsidR="006B1D29" w:rsidRPr="00A46054" w:rsidRDefault="00322ED9" w:rsidP="00A4605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Meal allowance</w:t>
      </w:r>
      <w:r w:rsidR="006B1D29" w:rsidRPr="00A46054">
        <w:rPr>
          <w:rFonts w:cs="Arial"/>
          <w:szCs w:val="20"/>
        </w:rPr>
        <w:t>;</w:t>
      </w:r>
    </w:p>
    <w:p w:rsidR="00322ED9" w:rsidRPr="00A46054" w:rsidRDefault="00322ED9" w:rsidP="00A4605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textAlignment w:val="baseline"/>
        <w:rPr>
          <w:rFonts w:cs="Arial"/>
          <w:szCs w:val="20"/>
        </w:rPr>
      </w:pPr>
      <w:r w:rsidRPr="00A46054">
        <w:rPr>
          <w:rFonts w:cs="Arial"/>
          <w:szCs w:val="20"/>
        </w:rPr>
        <w:t>Mobile phone</w:t>
      </w:r>
      <w:r w:rsidR="006B1D29" w:rsidRPr="00A46054">
        <w:rPr>
          <w:rFonts w:cs="Arial"/>
          <w:szCs w:val="20"/>
        </w:rPr>
        <w:t>.</w:t>
      </w:r>
    </w:p>
    <w:p w:rsidR="00322ED9" w:rsidRPr="00322ED9" w:rsidRDefault="00322ED9" w:rsidP="00322ED9">
      <w:pPr>
        <w:tabs>
          <w:tab w:val="left" w:pos="360"/>
        </w:tabs>
        <w:spacing w:line="276" w:lineRule="auto"/>
        <w:contextualSpacing/>
        <w:jc w:val="both"/>
        <w:textAlignment w:val="baseline"/>
        <w:rPr>
          <w:rFonts w:cs="Arial"/>
          <w:szCs w:val="20"/>
        </w:rPr>
      </w:pPr>
    </w:p>
    <w:sectPr w:rsidR="00322ED9" w:rsidRPr="00322ED9" w:rsidSect="0085796F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10583103"/>
    <w:multiLevelType w:val="hybridMultilevel"/>
    <w:tmpl w:val="F36A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419"/>
    <w:multiLevelType w:val="hybridMultilevel"/>
    <w:tmpl w:val="9C2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F1C"/>
    <w:multiLevelType w:val="multilevel"/>
    <w:tmpl w:val="AB1CD9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67437"/>
    <w:multiLevelType w:val="hybridMultilevel"/>
    <w:tmpl w:val="826E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15253"/>
    <w:multiLevelType w:val="hybridMultilevel"/>
    <w:tmpl w:val="1A26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31BF6"/>
    <w:multiLevelType w:val="multilevel"/>
    <w:tmpl w:val="B464F8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52A99"/>
    <w:multiLevelType w:val="hybridMultilevel"/>
    <w:tmpl w:val="EEF8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593E"/>
    <w:rsid w:val="000916F4"/>
    <w:rsid w:val="00094E56"/>
    <w:rsid w:val="001440CF"/>
    <w:rsid w:val="002B45AB"/>
    <w:rsid w:val="00322ED9"/>
    <w:rsid w:val="003518EA"/>
    <w:rsid w:val="00485A1C"/>
    <w:rsid w:val="006A69BB"/>
    <w:rsid w:val="006B1D29"/>
    <w:rsid w:val="007B700C"/>
    <w:rsid w:val="0085796F"/>
    <w:rsid w:val="00871E52"/>
    <w:rsid w:val="008C593E"/>
    <w:rsid w:val="009046D6"/>
    <w:rsid w:val="00A46054"/>
    <w:rsid w:val="00A95B1B"/>
    <w:rsid w:val="00B05D5D"/>
    <w:rsid w:val="00C6733F"/>
    <w:rsid w:val="00C766F4"/>
    <w:rsid w:val="00E04F15"/>
    <w:rsid w:val="00E2669F"/>
    <w:rsid w:val="00E66542"/>
    <w:rsid w:val="00EE63B9"/>
    <w:rsid w:val="00FB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MANAGER</vt:lpstr>
    </vt:vector>
  </TitlesOfParts>
  <Company>Reuters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MANAGER</dc:title>
  <dc:creator>tatiana.semenova</dc:creator>
  <cp:lastModifiedBy>Eugene Rasskazov</cp:lastModifiedBy>
  <cp:revision>4</cp:revision>
  <dcterms:created xsi:type="dcterms:W3CDTF">2016-02-04T12:14:00Z</dcterms:created>
  <dcterms:modified xsi:type="dcterms:W3CDTF">2016-02-04T12:21:00Z</dcterms:modified>
</cp:coreProperties>
</file>